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4940" w14:textId="77777777" w:rsidR="008324A0" w:rsidRDefault="008324A0" w:rsidP="008324A0">
      <w:pPr>
        <w:jc w:val="center"/>
        <w:rPr>
          <w:b/>
          <w:sz w:val="40"/>
          <w:szCs w:val="40"/>
        </w:rPr>
      </w:pPr>
      <w:r>
        <w:rPr>
          <w:b/>
          <w:sz w:val="40"/>
          <w:szCs w:val="40"/>
        </w:rPr>
        <w:t>Universidad Juárez Autónoma de Tabasco</w:t>
      </w:r>
      <w:r>
        <w:rPr>
          <w:noProof/>
        </w:rPr>
        <w:drawing>
          <wp:anchor distT="0" distB="0" distL="0" distR="0" simplePos="0" relativeHeight="251659264" behindDoc="1" locked="0" layoutInCell="1" hidden="0" allowOverlap="1" wp14:anchorId="40D939EA" wp14:editId="688FABC2">
            <wp:simplePos x="0" y="0"/>
            <wp:positionH relativeFrom="column">
              <wp:posOffset>5191125</wp:posOffset>
            </wp:positionH>
            <wp:positionV relativeFrom="paragraph">
              <wp:posOffset>-440054</wp:posOffset>
            </wp:positionV>
            <wp:extent cx="1098000" cy="1540800"/>
            <wp:effectExtent l="0" t="0" r="0" b="0"/>
            <wp:wrapNone/>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6"/>
                    <a:srcRect/>
                    <a:stretch>
                      <a:fillRect/>
                    </a:stretch>
                  </pic:blipFill>
                  <pic:spPr>
                    <a:xfrm>
                      <a:off x="0" y="0"/>
                      <a:ext cx="1098000" cy="15408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ABD24F0" wp14:editId="753F07DE">
            <wp:simplePos x="0" y="0"/>
            <wp:positionH relativeFrom="column">
              <wp:posOffset>-647064</wp:posOffset>
            </wp:positionH>
            <wp:positionV relativeFrom="paragraph">
              <wp:posOffset>-419734</wp:posOffset>
            </wp:positionV>
            <wp:extent cx="1081144" cy="1516380"/>
            <wp:effectExtent l="0" t="0" r="0" b="0"/>
            <wp:wrapNone/>
            <wp:docPr id="2" name="image2.png"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Patrón de fondo&#10;&#10;Descripción generada automáticamente"/>
                    <pic:cNvPicPr preferRelativeResize="0"/>
                  </pic:nvPicPr>
                  <pic:blipFill>
                    <a:blip r:embed="rId7"/>
                    <a:srcRect/>
                    <a:stretch>
                      <a:fillRect/>
                    </a:stretch>
                  </pic:blipFill>
                  <pic:spPr>
                    <a:xfrm>
                      <a:off x="0" y="0"/>
                      <a:ext cx="1081144" cy="1516380"/>
                    </a:xfrm>
                    <a:prstGeom prst="rect">
                      <a:avLst/>
                    </a:prstGeom>
                    <a:ln/>
                  </pic:spPr>
                </pic:pic>
              </a:graphicData>
            </a:graphic>
          </wp:anchor>
        </w:drawing>
      </w:r>
    </w:p>
    <w:p w14:paraId="60DFDAF7" w14:textId="77777777" w:rsidR="008324A0" w:rsidRPr="003B2D0A" w:rsidRDefault="008324A0" w:rsidP="008324A0">
      <w:pPr>
        <w:jc w:val="center"/>
        <w:rPr>
          <w:b/>
          <w:bCs/>
        </w:rPr>
      </w:pPr>
      <w:r w:rsidRPr="003B2D0A">
        <w:rPr>
          <w:b/>
          <w:bCs/>
        </w:rPr>
        <w:t>“Estudio en la duda. Acción en la fe”</w:t>
      </w:r>
    </w:p>
    <w:p w14:paraId="06E010D9" w14:textId="77777777" w:rsidR="008324A0" w:rsidRPr="003B2D0A" w:rsidRDefault="008324A0" w:rsidP="008324A0">
      <w:pPr>
        <w:jc w:val="center"/>
        <w:rPr>
          <w:b/>
          <w:bCs/>
        </w:rPr>
      </w:pPr>
    </w:p>
    <w:p w14:paraId="5CF30383" w14:textId="77777777" w:rsidR="008324A0" w:rsidRPr="003B2D0A" w:rsidRDefault="008324A0" w:rsidP="008324A0">
      <w:pPr>
        <w:jc w:val="center"/>
        <w:rPr>
          <w:b/>
          <w:bCs/>
          <w:sz w:val="32"/>
          <w:szCs w:val="32"/>
        </w:rPr>
      </w:pPr>
      <w:r w:rsidRPr="003B2D0A">
        <w:rPr>
          <w:b/>
          <w:bCs/>
          <w:sz w:val="32"/>
          <w:szCs w:val="32"/>
        </w:rPr>
        <w:t xml:space="preserve">División Académica de Ciencias </w:t>
      </w:r>
      <w:proofErr w:type="gramStart"/>
      <w:r w:rsidRPr="003B2D0A">
        <w:rPr>
          <w:b/>
          <w:bCs/>
          <w:sz w:val="32"/>
          <w:szCs w:val="32"/>
        </w:rPr>
        <w:t>Económico Administrativas</w:t>
      </w:r>
      <w:proofErr w:type="gramEnd"/>
    </w:p>
    <w:p w14:paraId="71DA98A5" w14:textId="77777777" w:rsidR="008324A0" w:rsidRDefault="008324A0" w:rsidP="008324A0">
      <w:pPr>
        <w:jc w:val="center"/>
        <w:rPr>
          <w:sz w:val="28"/>
          <w:szCs w:val="28"/>
        </w:rPr>
      </w:pPr>
    </w:p>
    <w:p w14:paraId="6A1EECE6" w14:textId="77777777" w:rsidR="008324A0" w:rsidRPr="003B2D0A" w:rsidRDefault="008324A0" w:rsidP="008324A0">
      <w:pPr>
        <w:jc w:val="center"/>
        <w:rPr>
          <w:b/>
          <w:bCs/>
          <w:sz w:val="32"/>
          <w:szCs w:val="32"/>
        </w:rPr>
      </w:pPr>
      <w:r w:rsidRPr="003B2D0A">
        <w:rPr>
          <w:b/>
          <w:bCs/>
          <w:sz w:val="32"/>
          <w:szCs w:val="32"/>
        </w:rPr>
        <w:t>Licenciatura en Mercadotecnia</w:t>
      </w:r>
    </w:p>
    <w:p w14:paraId="3F73103E" w14:textId="77777777" w:rsidR="008324A0" w:rsidRDefault="008324A0" w:rsidP="008324A0">
      <w:pPr>
        <w:jc w:val="center"/>
        <w:rPr>
          <w:sz w:val="32"/>
          <w:szCs w:val="32"/>
        </w:rPr>
      </w:pPr>
    </w:p>
    <w:p w14:paraId="3C42E873" w14:textId="77777777" w:rsidR="008324A0" w:rsidRDefault="008324A0" w:rsidP="008324A0">
      <w:pPr>
        <w:jc w:val="center"/>
        <w:rPr>
          <w:sz w:val="32"/>
          <w:szCs w:val="32"/>
        </w:rPr>
      </w:pPr>
      <w:r w:rsidRPr="003B2D0A">
        <w:rPr>
          <w:b/>
          <w:bCs/>
          <w:sz w:val="32"/>
          <w:szCs w:val="32"/>
        </w:rPr>
        <w:t>Docente:</w:t>
      </w:r>
      <w:r>
        <w:rPr>
          <w:sz w:val="32"/>
          <w:szCs w:val="32"/>
        </w:rPr>
        <w:t xml:space="preserve"> Dra. Miverva Camacho Javier </w:t>
      </w:r>
    </w:p>
    <w:p w14:paraId="6DDC5A04" w14:textId="77777777" w:rsidR="008324A0" w:rsidRDefault="008324A0" w:rsidP="008324A0">
      <w:pPr>
        <w:jc w:val="center"/>
        <w:rPr>
          <w:sz w:val="32"/>
          <w:szCs w:val="32"/>
        </w:rPr>
      </w:pPr>
    </w:p>
    <w:p w14:paraId="39764E47" w14:textId="77777777" w:rsidR="008324A0" w:rsidRDefault="008324A0" w:rsidP="008324A0">
      <w:pPr>
        <w:jc w:val="center"/>
        <w:rPr>
          <w:sz w:val="32"/>
          <w:szCs w:val="32"/>
        </w:rPr>
      </w:pPr>
      <w:r w:rsidRPr="003B2D0A">
        <w:rPr>
          <w:b/>
          <w:bCs/>
          <w:sz w:val="32"/>
          <w:szCs w:val="32"/>
        </w:rPr>
        <w:t>Asignatura:</w:t>
      </w:r>
      <w:r>
        <w:rPr>
          <w:sz w:val="32"/>
          <w:szCs w:val="32"/>
        </w:rPr>
        <w:t xml:space="preserve"> Seminario De Investigación 1</w:t>
      </w:r>
    </w:p>
    <w:p w14:paraId="0AA5D955" w14:textId="77777777" w:rsidR="008324A0" w:rsidRDefault="008324A0" w:rsidP="008324A0">
      <w:pPr>
        <w:jc w:val="center"/>
        <w:rPr>
          <w:sz w:val="32"/>
          <w:szCs w:val="32"/>
        </w:rPr>
      </w:pPr>
    </w:p>
    <w:p w14:paraId="178F35B3" w14:textId="77777777" w:rsidR="008324A0" w:rsidRPr="003B2D0A" w:rsidRDefault="008324A0" w:rsidP="008324A0">
      <w:pPr>
        <w:jc w:val="center"/>
        <w:rPr>
          <w:b/>
          <w:bCs/>
          <w:sz w:val="32"/>
          <w:szCs w:val="32"/>
        </w:rPr>
      </w:pPr>
      <w:r w:rsidRPr="003B2D0A">
        <w:rPr>
          <w:b/>
          <w:bCs/>
          <w:sz w:val="32"/>
          <w:szCs w:val="32"/>
        </w:rPr>
        <w:t>“</w:t>
      </w:r>
      <w:r>
        <w:rPr>
          <w:b/>
          <w:bCs/>
          <w:sz w:val="32"/>
          <w:szCs w:val="32"/>
        </w:rPr>
        <w:t>Desarrollo didáctico por etapa y evidencias</w:t>
      </w:r>
      <w:r w:rsidRPr="003B2D0A">
        <w:rPr>
          <w:b/>
          <w:bCs/>
          <w:sz w:val="32"/>
          <w:szCs w:val="32"/>
        </w:rPr>
        <w:t>”</w:t>
      </w:r>
    </w:p>
    <w:p w14:paraId="6C0BC0C2" w14:textId="77777777" w:rsidR="008324A0" w:rsidRDefault="008324A0" w:rsidP="008324A0">
      <w:pPr>
        <w:jc w:val="center"/>
        <w:rPr>
          <w:sz w:val="32"/>
          <w:szCs w:val="32"/>
        </w:rPr>
      </w:pPr>
    </w:p>
    <w:p w14:paraId="19EEBD2D" w14:textId="77777777" w:rsidR="008324A0" w:rsidRDefault="008324A0" w:rsidP="008324A0">
      <w:pPr>
        <w:jc w:val="center"/>
        <w:rPr>
          <w:b/>
          <w:sz w:val="32"/>
          <w:szCs w:val="32"/>
        </w:rPr>
      </w:pPr>
      <w:r>
        <w:rPr>
          <w:b/>
          <w:sz w:val="32"/>
          <w:szCs w:val="32"/>
        </w:rPr>
        <w:t>ALUMNO:</w:t>
      </w:r>
    </w:p>
    <w:p w14:paraId="76DC33FF" w14:textId="77777777" w:rsidR="008324A0" w:rsidRDefault="008324A0" w:rsidP="008324A0">
      <w:pPr>
        <w:spacing w:after="0"/>
        <w:jc w:val="center"/>
        <w:rPr>
          <w:sz w:val="32"/>
          <w:szCs w:val="32"/>
        </w:rPr>
      </w:pPr>
      <w:r>
        <w:rPr>
          <w:sz w:val="32"/>
          <w:szCs w:val="32"/>
        </w:rPr>
        <w:t>-Juan Carlos Javier López</w:t>
      </w:r>
    </w:p>
    <w:p w14:paraId="78C3B6DE" w14:textId="77777777" w:rsidR="008324A0" w:rsidRDefault="008324A0" w:rsidP="008324A0">
      <w:pPr>
        <w:spacing w:after="0"/>
        <w:rPr>
          <w:sz w:val="32"/>
          <w:szCs w:val="32"/>
        </w:rPr>
      </w:pPr>
    </w:p>
    <w:p w14:paraId="074B5EF5" w14:textId="77777777" w:rsidR="008324A0" w:rsidRDefault="008324A0" w:rsidP="008324A0">
      <w:pPr>
        <w:jc w:val="center"/>
        <w:rPr>
          <w:sz w:val="32"/>
          <w:szCs w:val="32"/>
        </w:rPr>
      </w:pPr>
    </w:p>
    <w:p w14:paraId="71869DAA" w14:textId="77777777" w:rsidR="008324A0" w:rsidRDefault="008324A0" w:rsidP="008324A0">
      <w:pPr>
        <w:jc w:val="center"/>
        <w:rPr>
          <w:sz w:val="32"/>
          <w:szCs w:val="32"/>
        </w:rPr>
      </w:pPr>
      <w:r>
        <w:rPr>
          <w:b/>
          <w:bCs/>
          <w:sz w:val="32"/>
          <w:szCs w:val="32"/>
        </w:rPr>
        <w:t xml:space="preserve">Grupo: </w:t>
      </w:r>
      <w:r>
        <w:rPr>
          <w:sz w:val="32"/>
          <w:szCs w:val="32"/>
        </w:rPr>
        <w:t>BLA</w:t>
      </w:r>
    </w:p>
    <w:p w14:paraId="545B7998" w14:textId="77777777" w:rsidR="008324A0" w:rsidRDefault="008324A0" w:rsidP="008324A0">
      <w:pPr>
        <w:jc w:val="center"/>
        <w:rPr>
          <w:sz w:val="32"/>
          <w:szCs w:val="32"/>
        </w:rPr>
      </w:pPr>
    </w:p>
    <w:p w14:paraId="5454995B" w14:textId="77777777" w:rsidR="008324A0" w:rsidRPr="003B2D0A" w:rsidRDefault="008324A0" w:rsidP="008324A0">
      <w:pPr>
        <w:jc w:val="center"/>
        <w:rPr>
          <w:b/>
          <w:bCs/>
          <w:sz w:val="32"/>
          <w:szCs w:val="32"/>
        </w:rPr>
      </w:pPr>
      <w:r w:rsidRPr="003B2D0A">
        <w:rPr>
          <w:b/>
          <w:bCs/>
          <w:sz w:val="32"/>
          <w:szCs w:val="32"/>
        </w:rPr>
        <w:t xml:space="preserve">Ciclo largo </w:t>
      </w:r>
      <w:proofErr w:type="gramStart"/>
      <w:r w:rsidRPr="003B2D0A">
        <w:rPr>
          <w:b/>
          <w:bCs/>
          <w:sz w:val="32"/>
          <w:szCs w:val="32"/>
        </w:rPr>
        <w:t>Agosto</w:t>
      </w:r>
      <w:proofErr w:type="gramEnd"/>
      <w:r>
        <w:rPr>
          <w:b/>
          <w:bCs/>
          <w:sz w:val="32"/>
          <w:szCs w:val="32"/>
        </w:rPr>
        <w:t>-</w:t>
      </w:r>
      <w:proofErr w:type="gramStart"/>
      <w:r>
        <w:rPr>
          <w:b/>
          <w:bCs/>
          <w:sz w:val="32"/>
          <w:szCs w:val="32"/>
        </w:rPr>
        <w:t>Febrero</w:t>
      </w:r>
      <w:proofErr w:type="gramEnd"/>
      <w:r w:rsidRPr="003B2D0A">
        <w:rPr>
          <w:b/>
          <w:bCs/>
          <w:sz w:val="32"/>
          <w:szCs w:val="32"/>
        </w:rPr>
        <w:t xml:space="preserve"> 202</w:t>
      </w:r>
      <w:r>
        <w:rPr>
          <w:b/>
          <w:bCs/>
          <w:sz w:val="32"/>
          <w:szCs w:val="32"/>
        </w:rPr>
        <w:t>5-2026</w:t>
      </w:r>
    </w:p>
    <w:p w14:paraId="4C8C096E" w14:textId="77777777" w:rsidR="008324A0" w:rsidRDefault="008324A0" w:rsidP="008324A0">
      <w:pPr>
        <w:jc w:val="center"/>
        <w:rPr>
          <w:sz w:val="32"/>
          <w:szCs w:val="32"/>
        </w:rPr>
      </w:pPr>
    </w:p>
    <w:p w14:paraId="3352A4D7" w14:textId="77777777" w:rsidR="008324A0" w:rsidRDefault="008324A0" w:rsidP="008324A0">
      <w:pPr>
        <w:rPr>
          <w:sz w:val="32"/>
          <w:szCs w:val="32"/>
        </w:rPr>
      </w:pPr>
      <w:r>
        <w:rPr>
          <w:sz w:val="32"/>
          <w:szCs w:val="32"/>
        </w:rPr>
        <w:t xml:space="preserve">Tabasco, México </w:t>
      </w:r>
      <w:proofErr w:type="gramStart"/>
      <w:r>
        <w:rPr>
          <w:sz w:val="32"/>
          <w:szCs w:val="32"/>
        </w:rPr>
        <w:tab/>
        <w:t xml:space="preserve">  </w:t>
      </w:r>
      <w:r>
        <w:rPr>
          <w:sz w:val="32"/>
          <w:szCs w:val="32"/>
        </w:rPr>
        <w:tab/>
      </w:r>
      <w:proofErr w:type="gramEnd"/>
      <w:r>
        <w:rPr>
          <w:sz w:val="32"/>
          <w:szCs w:val="32"/>
        </w:rPr>
        <w:tab/>
        <w:t xml:space="preserve"> 22 de </w:t>
      </w:r>
      <w:proofErr w:type="gramStart"/>
      <w:r>
        <w:rPr>
          <w:sz w:val="32"/>
          <w:szCs w:val="32"/>
        </w:rPr>
        <w:t>Noviembre</w:t>
      </w:r>
      <w:proofErr w:type="gramEnd"/>
      <w:r>
        <w:rPr>
          <w:sz w:val="32"/>
          <w:szCs w:val="32"/>
        </w:rPr>
        <w:t xml:space="preserve"> de 2025</w:t>
      </w:r>
    </w:p>
    <w:sdt>
      <w:sdtPr>
        <w:rPr>
          <w:lang w:val="es-ES"/>
        </w:rPr>
        <w:id w:val="-251044392"/>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60CC545A" w14:textId="2ED9E726" w:rsidR="00336871" w:rsidRDefault="00336871">
          <w:pPr>
            <w:pStyle w:val="TtuloTDC"/>
          </w:pPr>
          <w:r>
            <w:rPr>
              <w:lang w:val="es-ES"/>
            </w:rPr>
            <w:t>Contenido</w:t>
          </w:r>
        </w:p>
        <w:p w14:paraId="2193851A" w14:textId="1E00C086" w:rsidR="0050343B" w:rsidRDefault="00336871">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214731550" w:history="1">
            <w:r w:rsidR="0050343B" w:rsidRPr="00587EB8">
              <w:rPr>
                <w:rStyle w:val="Hipervnculo"/>
                <w:rFonts w:ascii="Times New Roman" w:hAnsi="Times New Roman" w:cs="Times New Roman"/>
                <w:b/>
                <w:bCs/>
                <w:noProof/>
              </w:rPr>
              <w:t>Mi opción de titulación CENEVAL</w:t>
            </w:r>
            <w:r w:rsidR="0050343B">
              <w:rPr>
                <w:noProof/>
                <w:webHidden/>
              </w:rPr>
              <w:tab/>
            </w:r>
            <w:r w:rsidR="0050343B">
              <w:rPr>
                <w:noProof/>
                <w:webHidden/>
              </w:rPr>
              <w:fldChar w:fldCharType="begin"/>
            </w:r>
            <w:r w:rsidR="0050343B">
              <w:rPr>
                <w:noProof/>
                <w:webHidden/>
              </w:rPr>
              <w:instrText xml:space="preserve"> PAGEREF _Toc214731550 \h </w:instrText>
            </w:r>
            <w:r w:rsidR="0050343B">
              <w:rPr>
                <w:noProof/>
                <w:webHidden/>
              </w:rPr>
            </w:r>
            <w:r w:rsidR="0050343B">
              <w:rPr>
                <w:noProof/>
                <w:webHidden/>
              </w:rPr>
              <w:fldChar w:fldCharType="separate"/>
            </w:r>
            <w:r w:rsidR="00E36DB2">
              <w:rPr>
                <w:noProof/>
                <w:webHidden/>
              </w:rPr>
              <w:t>3</w:t>
            </w:r>
            <w:r w:rsidR="0050343B">
              <w:rPr>
                <w:noProof/>
                <w:webHidden/>
              </w:rPr>
              <w:fldChar w:fldCharType="end"/>
            </w:r>
          </w:hyperlink>
        </w:p>
        <w:p w14:paraId="3365E846" w14:textId="327AF014" w:rsidR="0050343B" w:rsidRDefault="0050343B">
          <w:pPr>
            <w:pStyle w:val="TDC2"/>
            <w:tabs>
              <w:tab w:val="right" w:leader="dot" w:pos="8828"/>
            </w:tabs>
            <w:rPr>
              <w:rFonts w:eastAsiaTheme="minorEastAsia"/>
              <w:noProof/>
              <w:lang w:eastAsia="es-MX"/>
            </w:rPr>
          </w:pPr>
          <w:hyperlink w:anchor="_Toc214731551" w:history="1">
            <w:r w:rsidRPr="00587EB8">
              <w:rPr>
                <w:rStyle w:val="Hipervnculo"/>
                <w:rFonts w:ascii="Times New Roman" w:hAnsi="Times New Roman" w:cs="Times New Roman"/>
                <w:b/>
                <w:bCs/>
                <w:noProof/>
              </w:rPr>
              <w:t>Introducción</w:t>
            </w:r>
            <w:r>
              <w:rPr>
                <w:noProof/>
                <w:webHidden/>
              </w:rPr>
              <w:tab/>
            </w:r>
            <w:r>
              <w:rPr>
                <w:noProof/>
                <w:webHidden/>
              </w:rPr>
              <w:fldChar w:fldCharType="begin"/>
            </w:r>
            <w:r>
              <w:rPr>
                <w:noProof/>
                <w:webHidden/>
              </w:rPr>
              <w:instrText xml:space="preserve"> PAGEREF _Toc214731551 \h </w:instrText>
            </w:r>
            <w:r>
              <w:rPr>
                <w:noProof/>
                <w:webHidden/>
              </w:rPr>
            </w:r>
            <w:r>
              <w:rPr>
                <w:noProof/>
                <w:webHidden/>
              </w:rPr>
              <w:fldChar w:fldCharType="separate"/>
            </w:r>
            <w:r w:rsidR="00E36DB2">
              <w:rPr>
                <w:noProof/>
                <w:webHidden/>
              </w:rPr>
              <w:t>3</w:t>
            </w:r>
            <w:r>
              <w:rPr>
                <w:noProof/>
                <w:webHidden/>
              </w:rPr>
              <w:fldChar w:fldCharType="end"/>
            </w:r>
          </w:hyperlink>
        </w:p>
        <w:p w14:paraId="678C9740" w14:textId="402F3D70" w:rsidR="0050343B" w:rsidRDefault="0050343B">
          <w:pPr>
            <w:pStyle w:val="TDC2"/>
            <w:tabs>
              <w:tab w:val="right" w:leader="dot" w:pos="8828"/>
            </w:tabs>
            <w:rPr>
              <w:rFonts w:eastAsiaTheme="minorEastAsia"/>
              <w:noProof/>
              <w:lang w:eastAsia="es-MX"/>
            </w:rPr>
          </w:pPr>
          <w:hyperlink w:anchor="_Toc214731552" w:history="1">
            <w:r w:rsidRPr="00587EB8">
              <w:rPr>
                <w:rStyle w:val="Hipervnculo"/>
                <w:rFonts w:ascii="Times New Roman" w:hAnsi="Times New Roman" w:cs="Times New Roman"/>
                <w:b/>
                <w:bCs/>
                <w:noProof/>
              </w:rPr>
              <w:t>Desarrollo</w:t>
            </w:r>
            <w:r>
              <w:rPr>
                <w:noProof/>
                <w:webHidden/>
              </w:rPr>
              <w:tab/>
            </w:r>
            <w:r>
              <w:rPr>
                <w:noProof/>
                <w:webHidden/>
              </w:rPr>
              <w:fldChar w:fldCharType="begin"/>
            </w:r>
            <w:r>
              <w:rPr>
                <w:noProof/>
                <w:webHidden/>
              </w:rPr>
              <w:instrText xml:space="preserve"> PAGEREF _Toc214731552 \h </w:instrText>
            </w:r>
            <w:r>
              <w:rPr>
                <w:noProof/>
                <w:webHidden/>
              </w:rPr>
            </w:r>
            <w:r>
              <w:rPr>
                <w:noProof/>
                <w:webHidden/>
              </w:rPr>
              <w:fldChar w:fldCharType="separate"/>
            </w:r>
            <w:r w:rsidR="00E36DB2">
              <w:rPr>
                <w:noProof/>
                <w:webHidden/>
              </w:rPr>
              <w:t>4</w:t>
            </w:r>
            <w:r>
              <w:rPr>
                <w:noProof/>
                <w:webHidden/>
              </w:rPr>
              <w:fldChar w:fldCharType="end"/>
            </w:r>
          </w:hyperlink>
        </w:p>
        <w:p w14:paraId="17935994" w14:textId="21E8B90A" w:rsidR="0050343B" w:rsidRDefault="0050343B">
          <w:pPr>
            <w:pStyle w:val="TDC2"/>
            <w:tabs>
              <w:tab w:val="right" w:leader="dot" w:pos="8828"/>
            </w:tabs>
            <w:rPr>
              <w:rFonts w:eastAsiaTheme="minorEastAsia"/>
              <w:noProof/>
              <w:lang w:eastAsia="es-MX"/>
            </w:rPr>
          </w:pPr>
          <w:hyperlink w:anchor="_Toc214731553" w:history="1">
            <w:r w:rsidRPr="00587EB8">
              <w:rPr>
                <w:rStyle w:val="Hipervnculo"/>
                <w:rFonts w:ascii="Times New Roman" w:hAnsi="Times New Roman" w:cs="Times New Roman"/>
                <w:b/>
                <w:bCs/>
                <w:noProof/>
              </w:rPr>
              <w:t>Conclusión</w:t>
            </w:r>
            <w:r>
              <w:rPr>
                <w:noProof/>
                <w:webHidden/>
              </w:rPr>
              <w:tab/>
            </w:r>
            <w:r>
              <w:rPr>
                <w:noProof/>
                <w:webHidden/>
              </w:rPr>
              <w:fldChar w:fldCharType="begin"/>
            </w:r>
            <w:r>
              <w:rPr>
                <w:noProof/>
                <w:webHidden/>
              </w:rPr>
              <w:instrText xml:space="preserve"> PAGEREF _Toc214731553 \h </w:instrText>
            </w:r>
            <w:r>
              <w:rPr>
                <w:noProof/>
                <w:webHidden/>
              </w:rPr>
            </w:r>
            <w:r>
              <w:rPr>
                <w:noProof/>
                <w:webHidden/>
              </w:rPr>
              <w:fldChar w:fldCharType="separate"/>
            </w:r>
            <w:r w:rsidR="00E36DB2">
              <w:rPr>
                <w:noProof/>
                <w:webHidden/>
              </w:rPr>
              <w:t>7</w:t>
            </w:r>
            <w:r>
              <w:rPr>
                <w:noProof/>
                <w:webHidden/>
              </w:rPr>
              <w:fldChar w:fldCharType="end"/>
            </w:r>
          </w:hyperlink>
        </w:p>
        <w:p w14:paraId="0AE048C1" w14:textId="026A483A" w:rsidR="0050343B" w:rsidRDefault="0050343B">
          <w:pPr>
            <w:pStyle w:val="TDC1"/>
            <w:tabs>
              <w:tab w:val="right" w:leader="dot" w:pos="8828"/>
            </w:tabs>
            <w:rPr>
              <w:rFonts w:eastAsiaTheme="minorEastAsia"/>
              <w:noProof/>
              <w:lang w:eastAsia="es-MX"/>
            </w:rPr>
          </w:pPr>
          <w:hyperlink w:anchor="_Toc214731554" w:history="1">
            <w:r w:rsidRPr="00587EB8">
              <w:rPr>
                <w:rStyle w:val="Hipervnculo"/>
                <w:b/>
                <w:bCs/>
                <w:noProof/>
                <w:lang w:val="es-ES"/>
              </w:rPr>
              <w:t>Referencias</w:t>
            </w:r>
            <w:r>
              <w:rPr>
                <w:noProof/>
                <w:webHidden/>
              </w:rPr>
              <w:tab/>
            </w:r>
            <w:r>
              <w:rPr>
                <w:noProof/>
                <w:webHidden/>
              </w:rPr>
              <w:fldChar w:fldCharType="begin"/>
            </w:r>
            <w:r>
              <w:rPr>
                <w:noProof/>
                <w:webHidden/>
              </w:rPr>
              <w:instrText xml:space="preserve"> PAGEREF _Toc214731554 \h </w:instrText>
            </w:r>
            <w:r>
              <w:rPr>
                <w:noProof/>
                <w:webHidden/>
              </w:rPr>
            </w:r>
            <w:r>
              <w:rPr>
                <w:noProof/>
                <w:webHidden/>
              </w:rPr>
              <w:fldChar w:fldCharType="separate"/>
            </w:r>
            <w:r w:rsidR="00E36DB2">
              <w:rPr>
                <w:noProof/>
                <w:webHidden/>
              </w:rPr>
              <w:t>8</w:t>
            </w:r>
            <w:r>
              <w:rPr>
                <w:noProof/>
                <w:webHidden/>
              </w:rPr>
              <w:fldChar w:fldCharType="end"/>
            </w:r>
          </w:hyperlink>
        </w:p>
        <w:p w14:paraId="19CCF164" w14:textId="5953BA40" w:rsidR="00336871" w:rsidRDefault="00336871">
          <w:r>
            <w:rPr>
              <w:b/>
              <w:bCs/>
              <w:lang w:val="es-ES"/>
            </w:rPr>
            <w:fldChar w:fldCharType="end"/>
          </w:r>
        </w:p>
      </w:sdtContent>
    </w:sdt>
    <w:p w14:paraId="622AD66A" w14:textId="77777777" w:rsidR="00C64C79" w:rsidRDefault="00C64C79" w:rsidP="008324A0">
      <w:pPr>
        <w:rPr>
          <w:rFonts w:ascii="Times New Roman" w:hAnsi="Times New Roman" w:cs="Times New Roman"/>
          <w:b/>
          <w:bCs/>
          <w:sz w:val="28"/>
          <w:szCs w:val="28"/>
        </w:rPr>
      </w:pPr>
    </w:p>
    <w:p w14:paraId="18E3F98C" w14:textId="77777777" w:rsidR="00C64C79" w:rsidRDefault="00C64C79" w:rsidP="008324A0">
      <w:pPr>
        <w:rPr>
          <w:rFonts w:ascii="Times New Roman" w:hAnsi="Times New Roman" w:cs="Times New Roman"/>
          <w:b/>
          <w:bCs/>
          <w:sz w:val="28"/>
          <w:szCs w:val="28"/>
        </w:rPr>
      </w:pPr>
    </w:p>
    <w:p w14:paraId="1722CA3C" w14:textId="77777777" w:rsidR="00C64C79" w:rsidRDefault="00C64C79" w:rsidP="008324A0">
      <w:pPr>
        <w:rPr>
          <w:rFonts w:ascii="Times New Roman" w:hAnsi="Times New Roman" w:cs="Times New Roman"/>
          <w:b/>
          <w:bCs/>
          <w:sz w:val="28"/>
          <w:szCs w:val="28"/>
        </w:rPr>
      </w:pPr>
    </w:p>
    <w:p w14:paraId="3D1B0EC9" w14:textId="77777777" w:rsidR="00C64C79" w:rsidRDefault="00C64C79" w:rsidP="008324A0">
      <w:pPr>
        <w:rPr>
          <w:rFonts w:ascii="Times New Roman" w:hAnsi="Times New Roman" w:cs="Times New Roman"/>
          <w:b/>
          <w:bCs/>
          <w:sz w:val="28"/>
          <w:szCs w:val="28"/>
        </w:rPr>
      </w:pPr>
    </w:p>
    <w:p w14:paraId="4216899C" w14:textId="77777777" w:rsidR="00C64C79" w:rsidRDefault="00C64C79" w:rsidP="008324A0">
      <w:pPr>
        <w:rPr>
          <w:rFonts w:ascii="Times New Roman" w:hAnsi="Times New Roman" w:cs="Times New Roman"/>
          <w:b/>
          <w:bCs/>
          <w:sz w:val="28"/>
          <w:szCs w:val="28"/>
        </w:rPr>
      </w:pPr>
    </w:p>
    <w:p w14:paraId="1429A85F" w14:textId="77777777" w:rsidR="00C64C79" w:rsidRDefault="00C64C79" w:rsidP="008324A0">
      <w:pPr>
        <w:rPr>
          <w:rFonts w:ascii="Times New Roman" w:hAnsi="Times New Roman" w:cs="Times New Roman"/>
          <w:b/>
          <w:bCs/>
          <w:sz w:val="28"/>
          <w:szCs w:val="28"/>
        </w:rPr>
      </w:pPr>
    </w:p>
    <w:p w14:paraId="61607483" w14:textId="77777777" w:rsidR="00C64C79" w:rsidRDefault="00C64C79" w:rsidP="008324A0">
      <w:pPr>
        <w:rPr>
          <w:rFonts w:ascii="Times New Roman" w:hAnsi="Times New Roman" w:cs="Times New Roman"/>
          <w:b/>
          <w:bCs/>
          <w:sz w:val="28"/>
          <w:szCs w:val="28"/>
        </w:rPr>
      </w:pPr>
    </w:p>
    <w:p w14:paraId="0017BECA" w14:textId="77777777" w:rsidR="00C64C79" w:rsidRDefault="00C64C79" w:rsidP="008324A0">
      <w:pPr>
        <w:rPr>
          <w:rFonts w:ascii="Times New Roman" w:hAnsi="Times New Roman" w:cs="Times New Roman"/>
          <w:b/>
          <w:bCs/>
          <w:sz w:val="28"/>
          <w:szCs w:val="28"/>
        </w:rPr>
      </w:pPr>
    </w:p>
    <w:p w14:paraId="377584BC" w14:textId="77777777" w:rsidR="00C64C79" w:rsidRDefault="00C64C79" w:rsidP="008324A0">
      <w:pPr>
        <w:rPr>
          <w:rFonts w:ascii="Times New Roman" w:hAnsi="Times New Roman" w:cs="Times New Roman"/>
          <w:b/>
          <w:bCs/>
          <w:sz w:val="28"/>
          <w:szCs w:val="28"/>
        </w:rPr>
      </w:pPr>
    </w:p>
    <w:p w14:paraId="55AD8F64" w14:textId="77777777" w:rsidR="00C64C79" w:rsidRDefault="00C64C79" w:rsidP="008324A0">
      <w:pPr>
        <w:rPr>
          <w:rFonts w:ascii="Times New Roman" w:hAnsi="Times New Roman" w:cs="Times New Roman"/>
          <w:b/>
          <w:bCs/>
          <w:sz w:val="28"/>
          <w:szCs w:val="28"/>
        </w:rPr>
      </w:pPr>
    </w:p>
    <w:p w14:paraId="30EE6FB9" w14:textId="77777777" w:rsidR="00C64C79" w:rsidRDefault="00C64C79" w:rsidP="008324A0">
      <w:pPr>
        <w:rPr>
          <w:rFonts w:ascii="Times New Roman" w:hAnsi="Times New Roman" w:cs="Times New Roman"/>
          <w:b/>
          <w:bCs/>
          <w:sz w:val="28"/>
          <w:szCs w:val="28"/>
        </w:rPr>
      </w:pPr>
    </w:p>
    <w:p w14:paraId="405947F7" w14:textId="77777777" w:rsidR="00C64C79" w:rsidRDefault="00C64C79" w:rsidP="008324A0">
      <w:pPr>
        <w:rPr>
          <w:rFonts w:ascii="Times New Roman" w:hAnsi="Times New Roman" w:cs="Times New Roman"/>
          <w:b/>
          <w:bCs/>
          <w:sz w:val="28"/>
          <w:szCs w:val="28"/>
        </w:rPr>
      </w:pPr>
    </w:p>
    <w:p w14:paraId="4CAB6E09" w14:textId="77777777" w:rsidR="00C64C79" w:rsidRDefault="00C64C79" w:rsidP="008324A0">
      <w:pPr>
        <w:rPr>
          <w:rFonts w:ascii="Times New Roman" w:hAnsi="Times New Roman" w:cs="Times New Roman"/>
          <w:b/>
          <w:bCs/>
          <w:sz w:val="28"/>
          <w:szCs w:val="28"/>
        </w:rPr>
      </w:pPr>
    </w:p>
    <w:p w14:paraId="62414A52" w14:textId="77777777" w:rsidR="00C64C79" w:rsidRDefault="00C64C79" w:rsidP="008324A0">
      <w:pPr>
        <w:rPr>
          <w:rFonts w:ascii="Times New Roman" w:hAnsi="Times New Roman" w:cs="Times New Roman"/>
          <w:b/>
          <w:bCs/>
          <w:sz w:val="28"/>
          <w:szCs w:val="28"/>
        </w:rPr>
      </w:pPr>
    </w:p>
    <w:p w14:paraId="4106D900" w14:textId="77777777" w:rsidR="00C64C79" w:rsidRDefault="00C64C79" w:rsidP="008324A0">
      <w:pPr>
        <w:rPr>
          <w:rFonts w:ascii="Times New Roman" w:hAnsi="Times New Roman" w:cs="Times New Roman"/>
          <w:b/>
          <w:bCs/>
          <w:sz w:val="28"/>
          <w:szCs w:val="28"/>
        </w:rPr>
      </w:pPr>
    </w:p>
    <w:p w14:paraId="335DE682" w14:textId="77777777" w:rsidR="008324A0" w:rsidRDefault="008324A0" w:rsidP="008324A0">
      <w:pPr>
        <w:rPr>
          <w:rFonts w:ascii="Times New Roman" w:hAnsi="Times New Roman" w:cs="Times New Roman"/>
          <w:b/>
          <w:bCs/>
          <w:sz w:val="28"/>
          <w:szCs w:val="28"/>
        </w:rPr>
      </w:pPr>
    </w:p>
    <w:p w14:paraId="27DA84C0" w14:textId="77777777" w:rsidR="008324A0" w:rsidRDefault="008324A0" w:rsidP="008324A0">
      <w:pPr>
        <w:rPr>
          <w:rFonts w:ascii="Times New Roman" w:hAnsi="Times New Roman" w:cs="Times New Roman"/>
          <w:b/>
          <w:bCs/>
          <w:sz w:val="28"/>
          <w:szCs w:val="28"/>
        </w:rPr>
      </w:pPr>
    </w:p>
    <w:p w14:paraId="51684DE6" w14:textId="77777777" w:rsidR="0050343B" w:rsidRDefault="0050343B" w:rsidP="00877474">
      <w:pPr>
        <w:rPr>
          <w:rFonts w:ascii="Times New Roman" w:hAnsi="Times New Roman" w:cs="Times New Roman"/>
          <w:b/>
          <w:bCs/>
        </w:rPr>
      </w:pPr>
    </w:p>
    <w:p w14:paraId="612F496E" w14:textId="77777777" w:rsidR="0050343B" w:rsidRDefault="0050343B" w:rsidP="00877474">
      <w:pPr>
        <w:rPr>
          <w:rFonts w:ascii="Times New Roman" w:hAnsi="Times New Roman" w:cs="Times New Roman"/>
          <w:b/>
          <w:bCs/>
        </w:rPr>
      </w:pPr>
    </w:p>
    <w:p w14:paraId="6FCAD2B7" w14:textId="298151E3" w:rsidR="00877474" w:rsidRPr="0050343B" w:rsidRDefault="00877474" w:rsidP="0050343B">
      <w:pPr>
        <w:pStyle w:val="Ttulo1"/>
        <w:rPr>
          <w:rFonts w:ascii="Times New Roman" w:hAnsi="Times New Roman" w:cs="Times New Roman"/>
          <w:b/>
          <w:bCs/>
          <w:color w:val="auto"/>
          <w:sz w:val="28"/>
          <w:szCs w:val="28"/>
        </w:rPr>
      </w:pPr>
      <w:bookmarkStart w:id="0" w:name="_Toc214731550"/>
      <w:r w:rsidRPr="0050343B">
        <w:rPr>
          <w:rFonts w:ascii="Times New Roman" w:hAnsi="Times New Roman" w:cs="Times New Roman"/>
          <w:b/>
          <w:bCs/>
          <w:color w:val="auto"/>
          <w:sz w:val="28"/>
          <w:szCs w:val="28"/>
        </w:rPr>
        <w:lastRenderedPageBreak/>
        <w:t xml:space="preserve">Mi opción de </w:t>
      </w:r>
      <w:r w:rsidR="005D7B30" w:rsidRPr="0050343B">
        <w:rPr>
          <w:rFonts w:ascii="Times New Roman" w:hAnsi="Times New Roman" w:cs="Times New Roman"/>
          <w:b/>
          <w:bCs/>
          <w:color w:val="auto"/>
          <w:sz w:val="28"/>
          <w:szCs w:val="28"/>
        </w:rPr>
        <w:t>titulación CENEVAL</w:t>
      </w:r>
      <w:bookmarkEnd w:id="0"/>
    </w:p>
    <w:p w14:paraId="2B8706D6" w14:textId="2A0C3471" w:rsidR="008324A0" w:rsidRPr="006279AD" w:rsidRDefault="008324A0" w:rsidP="00336871">
      <w:pPr>
        <w:pStyle w:val="Ttulo2"/>
        <w:rPr>
          <w:rFonts w:ascii="Times New Roman" w:hAnsi="Times New Roman" w:cs="Times New Roman"/>
          <w:b/>
          <w:bCs/>
          <w:color w:val="auto"/>
          <w:sz w:val="28"/>
          <w:szCs w:val="28"/>
        </w:rPr>
      </w:pPr>
      <w:bookmarkStart w:id="1" w:name="_Toc214731551"/>
      <w:r w:rsidRPr="006279AD">
        <w:rPr>
          <w:rFonts w:ascii="Times New Roman" w:hAnsi="Times New Roman" w:cs="Times New Roman"/>
          <w:b/>
          <w:bCs/>
          <w:color w:val="auto"/>
          <w:sz w:val="28"/>
          <w:szCs w:val="28"/>
        </w:rPr>
        <w:t>Introducción</w:t>
      </w:r>
      <w:bookmarkEnd w:id="1"/>
      <w:r w:rsidRPr="006279AD">
        <w:rPr>
          <w:rFonts w:ascii="Times New Roman" w:hAnsi="Times New Roman" w:cs="Times New Roman"/>
          <w:b/>
          <w:bCs/>
          <w:color w:val="auto"/>
          <w:sz w:val="28"/>
          <w:szCs w:val="28"/>
        </w:rPr>
        <w:t xml:space="preserve"> </w:t>
      </w:r>
    </w:p>
    <w:p w14:paraId="23644FC7" w14:textId="2417438C" w:rsidR="008324A0" w:rsidRP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Terminar la universidad es uno de los eventos definitorios en la vida de un estudiante. Pero completar todos los cursos no es la meta final; la última etapa, y quizás la más crucial para ejercer la profesión completamente, es la graduación. La graduación, este proceso, valida ante la sociedad y el estado que un graduado posee las habilidades adecuadas para trabajar. Las nuevas regulaciones institucionales de 2024 establecen las condiciones que permitirán a la Universidad Juárez Autónoma de Tabasco (UJAT) alcanzar este fin. Con tantas opciones, incluyendo una tesis, el promedio general de calificaciones o estudios de posgrado para elegir, he decidido tener una opción factible, objetiva y aceptada a nivel nacional: El Examen General de Conocimientos, particularmente el proporcionado por el Centro Nacional de Evaluación para la Educación Superior, o CENEVAL. El objetivo de este artículo es delinear lo que esa graduación tiene en términos específicos, identificando las calificaciones necesarias, los pasos a seguir en términos de administración y los requisitos a evaluar de acuerdo con las reglas actuales y en conjunto con los formularios de aplicación de nuestra universidad. Optar por lo que no es un canal “fácil” es uno que está forzando todo lo que has aprendido durante la carrera en un análisis completo.</w:t>
      </w:r>
    </w:p>
    <w:p w14:paraId="5A5556AA" w14:textId="77777777" w:rsidR="008324A0" w:rsidRPr="008324A0" w:rsidRDefault="008324A0" w:rsidP="005307EE">
      <w:pPr>
        <w:spacing w:line="360" w:lineRule="auto"/>
        <w:jc w:val="both"/>
        <w:rPr>
          <w:rFonts w:ascii="Times New Roman" w:hAnsi="Times New Roman" w:cs="Times New Roman"/>
        </w:rPr>
      </w:pPr>
    </w:p>
    <w:p w14:paraId="78728135" w14:textId="77777777" w:rsidR="008324A0" w:rsidRDefault="008324A0" w:rsidP="005307EE">
      <w:pPr>
        <w:spacing w:line="360" w:lineRule="auto"/>
        <w:jc w:val="both"/>
        <w:rPr>
          <w:rFonts w:ascii="Times New Roman" w:hAnsi="Times New Roman" w:cs="Times New Roman"/>
        </w:rPr>
      </w:pPr>
    </w:p>
    <w:p w14:paraId="6708F73B" w14:textId="77777777" w:rsidR="008324A0" w:rsidRDefault="008324A0" w:rsidP="005307EE">
      <w:pPr>
        <w:spacing w:line="360" w:lineRule="auto"/>
        <w:jc w:val="both"/>
        <w:rPr>
          <w:rFonts w:ascii="Times New Roman" w:hAnsi="Times New Roman" w:cs="Times New Roman"/>
        </w:rPr>
      </w:pPr>
    </w:p>
    <w:p w14:paraId="7D382AD3" w14:textId="77777777" w:rsidR="008324A0" w:rsidRDefault="008324A0" w:rsidP="005307EE">
      <w:pPr>
        <w:spacing w:line="360" w:lineRule="auto"/>
        <w:jc w:val="both"/>
        <w:rPr>
          <w:rFonts w:ascii="Times New Roman" w:hAnsi="Times New Roman" w:cs="Times New Roman"/>
        </w:rPr>
      </w:pPr>
    </w:p>
    <w:p w14:paraId="35A4BDE5" w14:textId="77777777" w:rsidR="008324A0" w:rsidRDefault="008324A0" w:rsidP="005307EE">
      <w:pPr>
        <w:spacing w:line="360" w:lineRule="auto"/>
        <w:jc w:val="both"/>
        <w:rPr>
          <w:rFonts w:ascii="Times New Roman" w:hAnsi="Times New Roman" w:cs="Times New Roman"/>
        </w:rPr>
      </w:pPr>
    </w:p>
    <w:p w14:paraId="38DC31F7" w14:textId="77777777" w:rsidR="008324A0" w:rsidRDefault="008324A0" w:rsidP="005307EE">
      <w:pPr>
        <w:spacing w:line="360" w:lineRule="auto"/>
        <w:jc w:val="both"/>
        <w:rPr>
          <w:rFonts w:ascii="Times New Roman" w:hAnsi="Times New Roman" w:cs="Times New Roman"/>
        </w:rPr>
      </w:pPr>
    </w:p>
    <w:p w14:paraId="23745EE0" w14:textId="77777777" w:rsidR="008324A0" w:rsidRDefault="008324A0" w:rsidP="005307EE">
      <w:pPr>
        <w:spacing w:line="360" w:lineRule="auto"/>
        <w:jc w:val="both"/>
        <w:rPr>
          <w:rFonts w:ascii="Times New Roman" w:hAnsi="Times New Roman" w:cs="Times New Roman"/>
        </w:rPr>
      </w:pPr>
    </w:p>
    <w:p w14:paraId="3AE37E5A" w14:textId="77777777" w:rsidR="008324A0" w:rsidRDefault="008324A0" w:rsidP="005307EE">
      <w:pPr>
        <w:spacing w:line="360" w:lineRule="auto"/>
        <w:jc w:val="both"/>
        <w:rPr>
          <w:rFonts w:ascii="Times New Roman" w:hAnsi="Times New Roman" w:cs="Times New Roman"/>
        </w:rPr>
      </w:pPr>
    </w:p>
    <w:p w14:paraId="78389BFC" w14:textId="77777777" w:rsidR="008324A0" w:rsidRDefault="008324A0" w:rsidP="005307EE">
      <w:pPr>
        <w:spacing w:line="360" w:lineRule="auto"/>
        <w:jc w:val="both"/>
        <w:rPr>
          <w:rFonts w:ascii="Times New Roman" w:hAnsi="Times New Roman" w:cs="Times New Roman"/>
        </w:rPr>
      </w:pPr>
    </w:p>
    <w:p w14:paraId="58F466ED" w14:textId="77777777" w:rsidR="008324A0" w:rsidRDefault="008324A0" w:rsidP="005307EE">
      <w:pPr>
        <w:spacing w:line="360" w:lineRule="auto"/>
        <w:jc w:val="both"/>
        <w:rPr>
          <w:rFonts w:ascii="Times New Roman" w:hAnsi="Times New Roman" w:cs="Times New Roman"/>
        </w:rPr>
      </w:pPr>
    </w:p>
    <w:p w14:paraId="0C90E2AC" w14:textId="0E036BC8" w:rsidR="008324A0" w:rsidRPr="00336871" w:rsidRDefault="008324A0" w:rsidP="00336871">
      <w:pPr>
        <w:pStyle w:val="Ttulo2"/>
        <w:rPr>
          <w:rFonts w:ascii="Times New Roman" w:hAnsi="Times New Roman" w:cs="Times New Roman"/>
          <w:b/>
          <w:bCs/>
          <w:color w:val="auto"/>
          <w:sz w:val="28"/>
          <w:szCs w:val="28"/>
        </w:rPr>
      </w:pPr>
      <w:bookmarkStart w:id="2" w:name="_Toc214731552"/>
      <w:r w:rsidRPr="00336871">
        <w:rPr>
          <w:rFonts w:ascii="Times New Roman" w:hAnsi="Times New Roman" w:cs="Times New Roman"/>
          <w:b/>
          <w:bCs/>
          <w:color w:val="auto"/>
          <w:sz w:val="28"/>
          <w:szCs w:val="28"/>
        </w:rPr>
        <w:lastRenderedPageBreak/>
        <w:t>Desarrollo</w:t>
      </w:r>
      <w:bookmarkEnd w:id="2"/>
    </w:p>
    <w:p w14:paraId="22440474" w14:textId="77777777" w:rsidR="008324A0" w:rsidRPr="008324A0" w:rsidRDefault="008324A0" w:rsidP="005307EE">
      <w:pPr>
        <w:spacing w:line="360" w:lineRule="auto"/>
        <w:jc w:val="both"/>
        <w:rPr>
          <w:rFonts w:ascii="Times New Roman" w:hAnsi="Times New Roman" w:cs="Times New Roman"/>
          <w:b/>
          <w:bCs/>
        </w:rPr>
      </w:pPr>
      <w:r w:rsidRPr="008324A0">
        <w:rPr>
          <w:rFonts w:ascii="Times New Roman" w:hAnsi="Times New Roman" w:cs="Times New Roman"/>
          <w:b/>
          <w:bCs/>
        </w:rPr>
        <w:t xml:space="preserve">¿Qué es el examen de conocimientos genéricos? </w:t>
      </w:r>
    </w:p>
    <w:p w14:paraId="16EA9BA4" w14:textId="2D549E27" w:rsidR="008324A0" w:rsidRP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Esta modalidad, el artículo 12 del nuevo "Reglamento de Graduación para Graduados de Licenciatura y Técnicos Universitarios Superiores", establece que el aspecto principal de este modelo es ver si el graduado ha logrado los aspectos teóricos y prácticos de su carrera. No se trata de profundizar en un nuevo tema como lo haría una tesis, sino de demostrar que puedes aplicar lo que has aprendido. Dentro de esta modalidad, la universidad permite dos rutas: examen interno realizado por la propia división académica y examen externo. Mi opción es la externa; el CENEVAL, su Examen General de Egreso de Licenciatura (EGEL). Esta opción es inmensamente atractiva ya que era una evaluación estandarizada a nivel nacional; es decir, refleja mi conocimiento desde la perspectiva de los estudiantes de todo el país, mejorando así mi CV profesional.</w:t>
      </w:r>
    </w:p>
    <w:p w14:paraId="5881405A" w14:textId="77777777" w:rsidR="008324A0" w:rsidRP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La validez y el marco legal. De acuerdo con las regulaciones aprobadas en marzo de 2024, en el caso de seleccionar esta vía, es necesario el "Testimonio de Desempeño" del EGEL. Este documento deberá comprender la evidencia oficial publicada por CENEVAL para demostrar los resultados. El informe debe tener en cuenta que es para fines de graduación y tiene una fecha de vencimiento: las regulaciones especifican su validez máxima de tres años desde la fecha de publicación. En otras palabras, no puedo usar el examen que se completa hasta después de aprobarlo, momento en el cual no se permite ningún tiempo de espera para iniciar el proceso y perder el resultado de la universidad ya que no puedo obtener su validez.</w:t>
      </w:r>
    </w:p>
    <w:p w14:paraId="0BF62131" w14:textId="5FCE31FD" w:rsidR="008324A0" w:rsidRP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Necesidades previas y administrativas. Este formulario de requisitos de documentos indica </w:t>
      </w:r>
      <w:r w:rsidRPr="008324A0">
        <w:rPr>
          <w:rFonts w:ascii="Times New Roman" w:hAnsi="Times New Roman" w:cs="Times New Roman"/>
        </w:rPr>
        <w:t>que,</w:t>
      </w:r>
      <w:r w:rsidRPr="008324A0">
        <w:rPr>
          <w:rFonts w:ascii="Times New Roman" w:hAnsi="Times New Roman" w:cs="Times New Roman"/>
        </w:rPr>
        <w:t xml:space="preserve"> para ser elegible para solicitar la admisión a la universidad, debo aprobar todos los exámenes, pero incluso antes de pensar en entregar los documentos de examen, las regulaciones y la hoja de requisitos me dicen lo que necesito hacer, esencialmente solo teniendo que cumplir con los requisitos mínimos de todos los demás en el campus. Después de todo, tengo que ser un “graduado”, para quien los créditos en mi plan de estudios estén verdaderamente completados para incluir el 100% de ellos, y luego debería saber mi último día de clases. Además, el Servicio Social y si es requerido por mi carrera y también la Práctica Profesional. Uno de esos puntos que a menudo se olvida, pero crucial para que una solicitud sea aceptada, es estar ‘libre’ de deudas con la institución. No solo las tarifas de matrícula, </w:t>
      </w:r>
      <w:r w:rsidRPr="008324A0">
        <w:rPr>
          <w:rFonts w:ascii="Times New Roman" w:hAnsi="Times New Roman" w:cs="Times New Roman"/>
        </w:rPr>
        <w:lastRenderedPageBreak/>
        <w:t>sino libros en la biblioteca o materiales para los laboratorios o centros de cómputo. Si estos necesitan ser procesados para ser considerados, los recibos de "sin deuda" actuales y copias deben ser ejecutados también, y terminarán, digamos, en el momento en que se reciba el expediente.</w:t>
      </w:r>
    </w:p>
    <w:p w14:paraId="2B40B8B2" w14:textId="75EBCB9F" w:rsid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El proceso de documentación. Primero, después de tener los requisitos académicos preparados, comienzo a incorporar el expediente físico. La siguiente es una lista basada en el documento "Requisitos para la Modalidad de Graduación": 1. El orden y la presentación son la regla. Todos los documentos deben colocarse en una carpeta tamaño </w:t>
      </w:r>
      <w:r>
        <w:rPr>
          <w:rFonts w:ascii="Times New Roman" w:hAnsi="Times New Roman" w:cs="Times New Roman"/>
        </w:rPr>
        <w:t>oficio</w:t>
      </w:r>
      <w:r w:rsidRPr="008324A0">
        <w:rPr>
          <w:rFonts w:ascii="Times New Roman" w:hAnsi="Times New Roman" w:cs="Times New Roman"/>
        </w:rPr>
        <w:t xml:space="preserve"> de color beige.</w:t>
      </w:r>
    </w:p>
    <w:p w14:paraId="0FE2D41A" w14:textId="77777777" w:rsid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 Uno de los materiales más sensibles son las fotos. No cualquier foto servirá. Las instrucciones son estrictas: deben ser tamaño credencial, ovaladas, en papel adhesivo mate y, sobre todo, en blanco y negro. El atuendo es formal; los hombres necesitan un traje negro y corbata con camisa blanca, y las mujeres necesitan un traje negro liso y camisa blanca, sin maquillaje ni accesorios. Eso podría parecer una pequeña objeción, pero una foto mal tomada puede detener todo el proceso porque estas fotos irán al registro del examen, y más tarde al diploma también. </w:t>
      </w:r>
    </w:p>
    <w:p w14:paraId="00C5EE09" w14:textId="77777777" w:rsid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Además de las fotos, necesito completar la "Solicitud de Modalidad de Grado", que es un formulario donde marco con una "X" indicando "Examen General de Conocimientos EGEL-CENEVAL". Añado con este documento mi información personal, número de estudiante y año de graduación. Además de esto, tengo que proporcionar mi certificado de licenciatura, diploma de bachillerato (con legalización si es antiguo), mi acta de nacimiento, la CURP certificada y el certificado de actividades extracurriculares (deportes y cultura). </w:t>
      </w:r>
    </w:p>
    <w:p w14:paraId="500A8F03" w14:textId="77777777" w:rsid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Un requisito contemporáneo mencionado entre los contenidos es la "Encuesta de Egresados" y la actualización de datos del diploma electrónico. Esto demuestra una de las últimas características de los procesos de esa universidad que se están actualizando, pidiéndonos que actualicemos nuestra información en el portal web antes de solicitar el examen. </w:t>
      </w:r>
    </w:p>
    <w:p w14:paraId="3E07B52D" w14:textId="77777777" w:rsidR="008324A0" w:rsidRPr="008324A0" w:rsidRDefault="008324A0" w:rsidP="005307EE">
      <w:pPr>
        <w:spacing w:line="360" w:lineRule="auto"/>
        <w:jc w:val="both"/>
        <w:rPr>
          <w:rFonts w:ascii="Times New Roman" w:hAnsi="Times New Roman" w:cs="Times New Roman"/>
          <w:b/>
          <w:bCs/>
        </w:rPr>
      </w:pPr>
      <w:r w:rsidRPr="008324A0">
        <w:rPr>
          <w:rFonts w:ascii="Times New Roman" w:hAnsi="Times New Roman" w:cs="Times New Roman"/>
          <w:b/>
          <w:bCs/>
        </w:rPr>
        <w:t xml:space="preserve">La evaluación: ¿Cómo se aprueba? </w:t>
      </w:r>
    </w:p>
    <w:p w14:paraId="47CF8ADD" w14:textId="77777777" w:rsidR="008324A0"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Si la tesis se defiende ante un jurado que delibera, el resultado es numérico y directo, dictado por un organismo externo; en el examen CENEVAL no es así. Pero la universidad ahora </w:t>
      </w:r>
      <w:r w:rsidRPr="008324A0">
        <w:rPr>
          <w:rFonts w:ascii="Times New Roman" w:hAnsi="Times New Roman" w:cs="Times New Roman"/>
        </w:rPr>
        <w:lastRenderedPageBreak/>
        <w:t>debería describir la calificación de ese resultado en los términos propios de su sistema de calificaciones.</w:t>
      </w:r>
    </w:p>
    <w:p w14:paraId="48AA9465" w14:textId="77777777" w:rsidR="005307EE" w:rsidRDefault="008324A0" w:rsidP="005307EE">
      <w:pPr>
        <w:spacing w:line="360" w:lineRule="auto"/>
        <w:jc w:val="both"/>
        <w:rPr>
          <w:rFonts w:ascii="Times New Roman" w:hAnsi="Times New Roman" w:cs="Times New Roman"/>
        </w:rPr>
      </w:pPr>
      <w:r w:rsidRPr="008324A0">
        <w:rPr>
          <w:rFonts w:ascii="Times New Roman" w:hAnsi="Times New Roman" w:cs="Times New Roman"/>
        </w:rPr>
        <w:t xml:space="preserve"> El artículo 14 del reglamento indica claramente cómo interpretar los resultados del CENEVAL: </w:t>
      </w:r>
    </w:p>
    <w:p w14:paraId="3AFD08F7" w14:textId="77777777" w:rsidR="005307EE" w:rsidRDefault="008324A0" w:rsidP="005307EE">
      <w:pPr>
        <w:pStyle w:val="Prrafodelista"/>
        <w:numPr>
          <w:ilvl w:val="0"/>
          <w:numId w:val="1"/>
        </w:numPr>
        <w:spacing w:line="360" w:lineRule="auto"/>
        <w:jc w:val="both"/>
        <w:rPr>
          <w:rFonts w:ascii="Times New Roman" w:hAnsi="Times New Roman" w:cs="Times New Roman"/>
        </w:rPr>
      </w:pPr>
      <w:r w:rsidRPr="005307EE">
        <w:rPr>
          <w:rFonts w:ascii="Times New Roman" w:hAnsi="Times New Roman" w:cs="Times New Roman"/>
          <w:b/>
          <w:bCs/>
        </w:rPr>
        <w:t>No Aprobado:</w:t>
      </w:r>
      <w:r w:rsidRPr="005307EE">
        <w:rPr>
          <w:rFonts w:ascii="Times New Roman" w:hAnsi="Times New Roman" w:cs="Times New Roman"/>
        </w:rPr>
        <w:t xml:space="preserve"> Si el veredicto del CENEVAL indica "Aún no satisfactorio". De lo contrario, no me graduaría ya que tendría que buscar otra opción, incluso volver a presentar el examen. </w:t>
      </w:r>
    </w:p>
    <w:p w14:paraId="7AD50161" w14:textId="64E25D67" w:rsidR="005307EE" w:rsidRDefault="008324A0" w:rsidP="005307EE">
      <w:pPr>
        <w:pStyle w:val="Prrafodelista"/>
        <w:numPr>
          <w:ilvl w:val="0"/>
          <w:numId w:val="1"/>
        </w:numPr>
        <w:spacing w:line="360" w:lineRule="auto"/>
        <w:jc w:val="both"/>
        <w:rPr>
          <w:rFonts w:ascii="Times New Roman" w:hAnsi="Times New Roman" w:cs="Times New Roman"/>
        </w:rPr>
      </w:pPr>
      <w:r w:rsidRPr="005307EE">
        <w:rPr>
          <w:rFonts w:ascii="Times New Roman" w:hAnsi="Times New Roman" w:cs="Times New Roman"/>
          <w:b/>
          <w:bCs/>
        </w:rPr>
        <w:t>Aprobado:</w:t>
      </w:r>
      <w:r w:rsidRPr="005307EE">
        <w:rPr>
          <w:rFonts w:ascii="Times New Roman" w:hAnsi="Times New Roman" w:cs="Times New Roman"/>
        </w:rPr>
        <w:t xml:space="preserve"> Si obtengo un veredicto "Satisfactorio", entonces esto es suficiente para obtener el título. </w:t>
      </w:r>
    </w:p>
    <w:p w14:paraId="6A8D5210" w14:textId="77777777" w:rsidR="005307EE" w:rsidRDefault="008324A0" w:rsidP="005307EE">
      <w:pPr>
        <w:pStyle w:val="Prrafodelista"/>
        <w:numPr>
          <w:ilvl w:val="0"/>
          <w:numId w:val="1"/>
        </w:numPr>
        <w:spacing w:line="360" w:lineRule="auto"/>
        <w:jc w:val="both"/>
        <w:rPr>
          <w:rFonts w:ascii="Times New Roman" w:hAnsi="Times New Roman" w:cs="Times New Roman"/>
        </w:rPr>
      </w:pPr>
      <w:r w:rsidRPr="005307EE">
        <w:rPr>
          <w:rFonts w:ascii="Times New Roman" w:hAnsi="Times New Roman" w:cs="Times New Roman"/>
          <w:b/>
          <w:bCs/>
        </w:rPr>
        <w:t>Aprobado por Unanimidad:</w:t>
      </w:r>
      <w:r w:rsidRPr="005307EE">
        <w:rPr>
          <w:rFonts w:ascii="Times New Roman" w:hAnsi="Times New Roman" w:cs="Times New Roman"/>
        </w:rPr>
        <w:t xml:space="preserve"> Si el resultado es "Sobresaliente". Entonces, en este escenario, todos los jueces habrán votado a favor de la excelencia. </w:t>
      </w:r>
    </w:p>
    <w:p w14:paraId="75731779" w14:textId="77777777" w:rsidR="005307EE"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 xml:space="preserve">Cabe señalar, además, que el "Testimonio" (el diploma del resultado) así como el "Informe de Resultados Detallados" por áreas (tanto los originales como las copias) son parte de este proceso. </w:t>
      </w:r>
    </w:p>
    <w:p w14:paraId="6CC37FD8" w14:textId="77777777" w:rsidR="005307EE" w:rsidRPr="005307EE" w:rsidRDefault="008324A0" w:rsidP="005307EE">
      <w:pPr>
        <w:spacing w:line="360" w:lineRule="auto"/>
        <w:ind w:left="360"/>
        <w:jc w:val="both"/>
        <w:rPr>
          <w:rFonts w:ascii="Times New Roman" w:hAnsi="Times New Roman" w:cs="Times New Roman"/>
          <w:b/>
          <w:bCs/>
        </w:rPr>
      </w:pPr>
      <w:r w:rsidRPr="005307EE">
        <w:rPr>
          <w:rFonts w:ascii="Times New Roman" w:hAnsi="Times New Roman" w:cs="Times New Roman"/>
          <w:b/>
          <w:bCs/>
        </w:rPr>
        <w:t xml:space="preserve">El Examen Profesional (Protocolo) </w:t>
      </w:r>
    </w:p>
    <w:p w14:paraId="2EBB3921" w14:textId="77777777" w:rsidR="005307EE"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 xml:space="preserve">Aunque terminé el examen escrito del CENEVAL, el examen profesional en la universidad es el proceso formal por el momento. No es que me vayan a hacer preguntas sobre la carrera una vez más, pero este es el acto administrativo y solemne. Siguiendo el reglamento, mi expediente es revisado después de pagar la tarifa del examen (válida por un año) y se asigna una fecha. </w:t>
      </w:r>
    </w:p>
    <w:p w14:paraId="06782F94" w14:textId="77777777" w:rsidR="005307EE"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 xml:space="preserve">En esta fecha, se redactará el acta del examen profesional. Si mi resultado fue aprobatorio, tomo el juramento, que es el compromiso ético que tomamos como nuevos profesionales. Es interesante recordar que las reglas consideran circunstancias excepcionales; si no pudiera asistir, ya sea por razones de salud graves o por vivir en el extranjero, es posible solicitar un acto virtual, aunque lo estándar es que sea presencial. </w:t>
      </w:r>
    </w:p>
    <w:p w14:paraId="362E4920" w14:textId="77777777" w:rsidR="005307EE" w:rsidRDefault="005307EE" w:rsidP="005307EE">
      <w:pPr>
        <w:spacing w:line="360" w:lineRule="auto"/>
        <w:ind w:left="360"/>
        <w:jc w:val="both"/>
        <w:rPr>
          <w:rFonts w:ascii="Times New Roman" w:hAnsi="Times New Roman" w:cs="Times New Roman"/>
        </w:rPr>
      </w:pPr>
    </w:p>
    <w:p w14:paraId="3B815191" w14:textId="77777777" w:rsidR="005307EE" w:rsidRDefault="005307EE" w:rsidP="005307EE">
      <w:pPr>
        <w:spacing w:line="360" w:lineRule="auto"/>
        <w:ind w:left="360"/>
        <w:jc w:val="both"/>
        <w:rPr>
          <w:rFonts w:ascii="Times New Roman" w:hAnsi="Times New Roman" w:cs="Times New Roman"/>
        </w:rPr>
      </w:pPr>
    </w:p>
    <w:p w14:paraId="3A0F0A57" w14:textId="77777777" w:rsidR="005307EE" w:rsidRDefault="005307EE" w:rsidP="005307EE">
      <w:pPr>
        <w:spacing w:line="360" w:lineRule="auto"/>
        <w:ind w:left="360"/>
        <w:jc w:val="both"/>
        <w:rPr>
          <w:rFonts w:ascii="Times New Roman" w:hAnsi="Times New Roman" w:cs="Times New Roman"/>
        </w:rPr>
      </w:pPr>
    </w:p>
    <w:p w14:paraId="04AD9AE6" w14:textId="77777777" w:rsidR="005307EE" w:rsidRPr="006279AD" w:rsidRDefault="008324A0" w:rsidP="006279AD">
      <w:pPr>
        <w:pStyle w:val="Ttulo2"/>
        <w:rPr>
          <w:rFonts w:ascii="Times New Roman" w:hAnsi="Times New Roman" w:cs="Times New Roman"/>
          <w:b/>
          <w:bCs/>
          <w:color w:val="auto"/>
          <w:sz w:val="28"/>
          <w:szCs w:val="28"/>
        </w:rPr>
      </w:pPr>
      <w:bookmarkStart w:id="3" w:name="_Toc214731553"/>
      <w:r w:rsidRPr="006279AD">
        <w:rPr>
          <w:rFonts w:ascii="Times New Roman" w:hAnsi="Times New Roman" w:cs="Times New Roman"/>
          <w:b/>
          <w:bCs/>
          <w:color w:val="auto"/>
          <w:sz w:val="28"/>
          <w:szCs w:val="28"/>
        </w:rPr>
        <w:lastRenderedPageBreak/>
        <w:t>Conclusión</w:t>
      </w:r>
      <w:bookmarkEnd w:id="3"/>
      <w:r w:rsidRPr="006279AD">
        <w:rPr>
          <w:rFonts w:ascii="Times New Roman" w:hAnsi="Times New Roman" w:cs="Times New Roman"/>
          <w:b/>
          <w:bCs/>
          <w:color w:val="auto"/>
          <w:sz w:val="28"/>
          <w:szCs w:val="28"/>
        </w:rPr>
        <w:t xml:space="preserve"> </w:t>
      </w:r>
    </w:p>
    <w:p w14:paraId="702C064F" w14:textId="77777777" w:rsidR="005307EE"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 xml:space="preserve">CENEVAL es una opción de grado; es una decisión basada en la objetividad y la eficiencia. Esto no implica preparar un extenso documento escrito como la tesis, aunque exige una rigurosa preparación intelectual y académica para demostrar, en una sola prueba, que se tienen las competencias necesarias para ejercer. </w:t>
      </w:r>
    </w:p>
    <w:p w14:paraId="2ED87099" w14:textId="77777777" w:rsidR="005307EE"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 xml:space="preserve">Al leer los documentos proporcionados por la universidad, vemos que el grado es más que un proceso burocrático, sino una actividad organizada destinada a garantizar la calidad de los egresados. Todo se hace para asegurar que la sociedad sepa que el nuevo profesional está a la altura, desde la presentación metódica de fotografías hasta la confirmación de las calificaciones de los exámenes. </w:t>
      </w:r>
    </w:p>
    <w:p w14:paraId="0E03A886" w14:textId="63FAFD68" w:rsidR="008324A0" w:rsidRDefault="008324A0" w:rsidP="005307EE">
      <w:pPr>
        <w:spacing w:line="360" w:lineRule="auto"/>
        <w:ind w:left="360"/>
        <w:jc w:val="both"/>
        <w:rPr>
          <w:rFonts w:ascii="Times New Roman" w:hAnsi="Times New Roman" w:cs="Times New Roman"/>
        </w:rPr>
      </w:pPr>
      <w:r w:rsidRPr="005307EE">
        <w:rPr>
          <w:rFonts w:ascii="Times New Roman" w:hAnsi="Times New Roman" w:cs="Times New Roman"/>
        </w:rPr>
        <w:t>Esta opción, para mí, es, a su vez, el cierre de un ciclo de esfuerzo. Así, al completar el expediente y realizar los pagos y mostrar mis resultados satisfactorios o sobresalientes, no solo estaré siguiendo un reglamento, sino que también tendré la llave de mi futuro profesional, respaldado por mi universidad (UJAT) y una evaluación nacional reconocida.</w:t>
      </w:r>
    </w:p>
    <w:p w14:paraId="2FB54EFE" w14:textId="77777777" w:rsidR="005307EE" w:rsidRDefault="005307EE" w:rsidP="005307EE">
      <w:pPr>
        <w:spacing w:line="360" w:lineRule="auto"/>
        <w:ind w:left="360"/>
        <w:jc w:val="both"/>
        <w:rPr>
          <w:rFonts w:ascii="Times New Roman" w:hAnsi="Times New Roman" w:cs="Times New Roman"/>
        </w:rPr>
      </w:pPr>
    </w:p>
    <w:p w14:paraId="0CCF2F20" w14:textId="77777777" w:rsidR="005307EE" w:rsidRDefault="005307EE" w:rsidP="005307EE">
      <w:pPr>
        <w:spacing w:line="360" w:lineRule="auto"/>
        <w:ind w:left="360"/>
        <w:jc w:val="both"/>
        <w:rPr>
          <w:rFonts w:ascii="Times New Roman" w:hAnsi="Times New Roman" w:cs="Times New Roman"/>
        </w:rPr>
      </w:pPr>
    </w:p>
    <w:p w14:paraId="1F0C3C77" w14:textId="77777777" w:rsidR="005307EE" w:rsidRDefault="005307EE" w:rsidP="005307EE">
      <w:pPr>
        <w:spacing w:line="360" w:lineRule="auto"/>
        <w:ind w:left="360"/>
        <w:jc w:val="both"/>
        <w:rPr>
          <w:rFonts w:ascii="Times New Roman" w:hAnsi="Times New Roman" w:cs="Times New Roman"/>
        </w:rPr>
      </w:pPr>
    </w:p>
    <w:p w14:paraId="2B08C46A" w14:textId="77777777" w:rsidR="005307EE" w:rsidRDefault="005307EE" w:rsidP="005307EE">
      <w:pPr>
        <w:spacing w:line="360" w:lineRule="auto"/>
        <w:ind w:left="360"/>
        <w:jc w:val="both"/>
        <w:rPr>
          <w:rFonts w:ascii="Times New Roman" w:hAnsi="Times New Roman" w:cs="Times New Roman"/>
        </w:rPr>
      </w:pPr>
    </w:p>
    <w:p w14:paraId="31CFB424" w14:textId="77777777" w:rsidR="005307EE" w:rsidRDefault="005307EE" w:rsidP="005307EE">
      <w:pPr>
        <w:spacing w:line="360" w:lineRule="auto"/>
        <w:ind w:left="360"/>
        <w:jc w:val="both"/>
        <w:rPr>
          <w:rFonts w:ascii="Times New Roman" w:hAnsi="Times New Roman" w:cs="Times New Roman"/>
        </w:rPr>
      </w:pPr>
    </w:p>
    <w:p w14:paraId="65A3C70D" w14:textId="77777777" w:rsidR="005307EE" w:rsidRDefault="005307EE" w:rsidP="005307EE">
      <w:pPr>
        <w:spacing w:line="360" w:lineRule="auto"/>
        <w:ind w:left="360"/>
        <w:jc w:val="both"/>
        <w:rPr>
          <w:rFonts w:ascii="Times New Roman" w:hAnsi="Times New Roman" w:cs="Times New Roman"/>
        </w:rPr>
      </w:pPr>
    </w:p>
    <w:p w14:paraId="54214BE7" w14:textId="77777777" w:rsidR="005307EE" w:rsidRDefault="005307EE" w:rsidP="005307EE">
      <w:pPr>
        <w:spacing w:line="360" w:lineRule="auto"/>
        <w:ind w:left="360"/>
        <w:jc w:val="both"/>
        <w:rPr>
          <w:rFonts w:ascii="Times New Roman" w:hAnsi="Times New Roman" w:cs="Times New Roman"/>
        </w:rPr>
      </w:pPr>
    </w:p>
    <w:p w14:paraId="21554277" w14:textId="77777777" w:rsidR="005307EE" w:rsidRDefault="005307EE" w:rsidP="005307EE">
      <w:pPr>
        <w:spacing w:line="360" w:lineRule="auto"/>
        <w:ind w:left="360"/>
        <w:jc w:val="both"/>
        <w:rPr>
          <w:rFonts w:ascii="Times New Roman" w:hAnsi="Times New Roman" w:cs="Times New Roman"/>
        </w:rPr>
      </w:pPr>
    </w:p>
    <w:p w14:paraId="5CF41F11" w14:textId="77777777" w:rsidR="005307EE" w:rsidRDefault="005307EE" w:rsidP="005307EE">
      <w:pPr>
        <w:spacing w:line="360" w:lineRule="auto"/>
        <w:ind w:left="360"/>
        <w:jc w:val="both"/>
        <w:rPr>
          <w:rFonts w:ascii="Times New Roman" w:hAnsi="Times New Roman" w:cs="Times New Roman"/>
        </w:rPr>
      </w:pPr>
    </w:p>
    <w:p w14:paraId="112AA6B0" w14:textId="77777777" w:rsidR="005307EE" w:rsidRDefault="005307EE" w:rsidP="005307EE">
      <w:pPr>
        <w:spacing w:line="360" w:lineRule="auto"/>
        <w:ind w:left="360"/>
        <w:jc w:val="both"/>
        <w:rPr>
          <w:rFonts w:ascii="Times New Roman" w:hAnsi="Times New Roman" w:cs="Times New Roman"/>
        </w:rPr>
      </w:pPr>
    </w:p>
    <w:p w14:paraId="1702877C" w14:textId="77777777" w:rsidR="005307EE" w:rsidRDefault="005307EE" w:rsidP="005307EE">
      <w:pPr>
        <w:spacing w:line="360" w:lineRule="auto"/>
        <w:ind w:left="360"/>
        <w:jc w:val="both"/>
        <w:rPr>
          <w:rFonts w:ascii="Times New Roman" w:hAnsi="Times New Roman" w:cs="Times New Roman"/>
        </w:rPr>
      </w:pPr>
    </w:p>
    <w:bookmarkStart w:id="4" w:name="_Toc214731554" w:displacedByCustomXml="next"/>
    <w:sdt>
      <w:sdtPr>
        <w:rPr>
          <w:lang w:val="es-ES"/>
        </w:rPr>
        <w:id w:val="619656803"/>
        <w:docPartObj>
          <w:docPartGallery w:val="Bibliographies"/>
          <w:docPartUnique/>
        </w:docPartObj>
      </w:sdtPr>
      <w:sdtEndPr>
        <w:rPr>
          <w:rFonts w:asciiTheme="minorHAnsi" w:eastAsiaTheme="minorHAnsi" w:hAnsiTheme="minorHAnsi" w:cstheme="minorBidi"/>
          <w:color w:val="auto"/>
          <w:sz w:val="24"/>
          <w:szCs w:val="24"/>
          <w:lang w:val="es-MX"/>
        </w:rPr>
      </w:sdtEndPr>
      <w:sdtContent>
        <w:p w14:paraId="46DD1498" w14:textId="77777777" w:rsidR="005307EE" w:rsidRPr="00336871" w:rsidRDefault="005307EE" w:rsidP="005307EE">
          <w:pPr>
            <w:pStyle w:val="Ttulo1"/>
            <w:spacing w:line="480" w:lineRule="auto"/>
            <w:ind w:left="709" w:hanging="709"/>
            <w:rPr>
              <w:b/>
              <w:bCs/>
              <w:color w:val="auto"/>
              <w:sz w:val="28"/>
              <w:szCs w:val="28"/>
            </w:rPr>
          </w:pPr>
          <w:r w:rsidRPr="00336871">
            <w:rPr>
              <w:b/>
              <w:bCs/>
              <w:color w:val="auto"/>
              <w:sz w:val="28"/>
              <w:szCs w:val="28"/>
              <w:lang w:val="es-ES"/>
            </w:rPr>
            <w:t>Referencias</w:t>
          </w:r>
          <w:bookmarkEnd w:id="4"/>
        </w:p>
        <w:sdt>
          <w:sdtPr>
            <w:id w:val="-573587230"/>
            <w:bibliography/>
          </w:sdtPr>
          <w:sdtContent>
            <w:p w14:paraId="2A6BF16C" w14:textId="77777777" w:rsidR="005307EE" w:rsidRPr="00776E9C" w:rsidRDefault="005307EE" w:rsidP="005307EE">
              <w:pPr>
                <w:spacing w:line="480" w:lineRule="auto"/>
                <w:ind w:left="709" w:hanging="709"/>
                <w:rPr>
                  <w:rFonts w:ascii="Times New Roman" w:hAnsi="Times New Roman" w:cs="Times New Roman"/>
                </w:rPr>
              </w:pPr>
              <w:r w:rsidRPr="00776E9C">
                <w:rPr>
                  <w:rFonts w:ascii="Times New Roman" w:hAnsi="Times New Roman" w:cs="Times New Roman"/>
                </w:rPr>
                <w:t xml:space="preserve">Documento </w:t>
              </w:r>
              <w:r w:rsidRPr="00776E9C">
                <w:rPr>
                  <w:rFonts w:ascii="Times New Roman" w:hAnsi="Times New Roman" w:cs="Times New Roman"/>
                  <w:i/>
                  <w:iCs/>
                </w:rPr>
                <w:t>Requisitos de la Modalidad de Titulación Examen General de Conocimientos (CENEVAL)</w:t>
              </w:r>
              <w:r w:rsidRPr="00776E9C">
                <w:rPr>
                  <w:rFonts w:ascii="Times New Roman" w:hAnsi="Times New Roman" w:cs="Times New Roman"/>
                </w:rPr>
                <w:t>, emitido por la Coordinación de Estudios Terminales.</w:t>
              </w:r>
            </w:p>
            <w:p w14:paraId="0A198CC9" w14:textId="77777777" w:rsidR="005307EE" w:rsidRPr="00776E9C" w:rsidRDefault="005307EE" w:rsidP="005307EE">
              <w:pPr>
                <w:spacing w:line="480" w:lineRule="auto"/>
                <w:ind w:left="709" w:hanging="709"/>
                <w:rPr>
                  <w:rFonts w:ascii="Times New Roman" w:hAnsi="Times New Roman" w:cs="Times New Roman"/>
                </w:rPr>
              </w:pPr>
              <w:r w:rsidRPr="00776E9C">
                <w:rPr>
                  <w:rFonts w:ascii="Times New Roman" w:hAnsi="Times New Roman" w:cs="Times New Roman"/>
                </w:rPr>
                <w:t xml:space="preserve">Documento </w:t>
              </w:r>
              <w:r w:rsidRPr="00776E9C">
                <w:rPr>
                  <w:rFonts w:ascii="Times New Roman" w:hAnsi="Times New Roman" w:cs="Times New Roman"/>
                  <w:i/>
                  <w:iCs/>
                </w:rPr>
                <w:t>Solicitud de Modalidad de Titulación</w:t>
              </w:r>
              <w:r w:rsidRPr="00776E9C">
                <w:rPr>
                  <w:rFonts w:ascii="Times New Roman" w:hAnsi="Times New Roman" w:cs="Times New Roman"/>
                </w:rPr>
                <w:t>, formato oficial de la Dirección de la División Académica (DACEA).</w:t>
              </w:r>
            </w:p>
            <w:p w14:paraId="113AB89D" w14:textId="77777777" w:rsidR="005307EE" w:rsidRDefault="005307EE" w:rsidP="005307EE">
              <w:pPr>
                <w:spacing w:line="480" w:lineRule="auto"/>
                <w:ind w:left="709" w:hanging="709"/>
              </w:pPr>
              <w:r w:rsidRPr="00776E9C">
                <w:rPr>
                  <w:rFonts w:ascii="Times New Roman" w:hAnsi="Times New Roman" w:cs="Times New Roman"/>
                  <w:i/>
                  <w:iCs/>
                </w:rPr>
                <w:t>Reglamento de Titulación para Egresados de Licenciatura y Técnico Superior Universitario</w:t>
              </w:r>
              <w:r w:rsidRPr="00776E9C">
                <w:rPr>
                  <w:rFonts w:ascii="Times New Roman" w:hAnsi="Times New Roman" w:cs="Times New Roman"/>
                </w:rPr>
                <w:t>, aprobado por el H. Consejo Universitario el 20 de marzo de 2024 y publicado en la Gaceta Juchimán.</w:t>
              </w:r>
            </w:p>
          </w:sdtContent>
        </w:sdt>
      </w:sdtContent>
    </w:sdt>
    <w:p w14:paraId="417071E1" w14:textId="77777777" w:rsidR="005307EE" w:rsidRPr="005307EE" w:rsidRDefault="005307EE" w:rsidP="005307EE">
      <w:pPr>
        <w:spacing w:line="360" w:lineRule="auto"/>
        <w:ind w:left="360"/>
        <w:jc w:val="both"/>
        <w:rPr>
          <w:rFonts w:ascii="Times New Roman" w:hAnsi="Times New Roman" w:cs="Times New Roman"/>
        </w:rPr>
      </w:pPr>
    </w:p>
    <w:sectPr w:rsidR="005307EE" w:rsidRPr="005307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E68"/>
    <w:multiLevelType w:val="hybridMultilevel"/>
    <w:tmpl w:val="F0E6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4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A0"/>
    <w:rsid w:val="001066A7"/>
    <w:rsid w:val="00336871"/>
    <w:rsid w:val="0050343B"/>
    <w:rsid w:val="005307EE"/>
    <w:rsid w:val="005D7B30"/>
    <w:rsid w:val="006279AD"/>
    <w:rsid w:val="008324A0"/>
    <w:rsid w:val="00877474"/>
    <w:rsid w:val="00C64C79"/>
    <w:rsid w:val="00E36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EF00"/>
  <w15:chartTrackingRefBased/>
  <w15:docId w15:val="{4CCFC8A5-7297-4C50-B914-A50E57EE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2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32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24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24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24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24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24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24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24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4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324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24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24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24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24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24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24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24A0"/>
    <w:rPr>
      <w:rFonts w:eastAsiaTheme="majorEastAsia" w:cstheme="majorBidi"/>
      <w:color w:val="272727" w:themeColor="text1" w:themeTint="D8"/>
    </w:rPr>
  </w:style>
  <w:style w:type="paragraph" w:styleId="Ttulo">
    <w:name w:val="Title"/>
    <w:basedOn w:val="Normal"/>
    <w:next w:val="Normal"/>
    <w:link w:val="TtuloCar"/>
    <w:uiPriority w:val="10"/>
    <w:qFormat/>
    <w:rsid w:val="0083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4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24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24A0"/>
    <w:pPr>
      <w:spacing w:before="160"/>
      <w:jc w:val="center"/>
    </w:pPr>
    <w:rPr>
      <w:i/>
      <w:iCs/>
      <w:color w:val="404040" w:themeColor="text1" w:themeTint="BF"/>
    </w:rPr>
  </w:style>
  <w:style w:type="character" w:customStyle="1" w:styleId="CitaCar">
    <w:name w:val="Cita Car"/>
    <w:basedOn w:val="Fuentedeprrafopredeter"/>
    <w:link w:val="Cita"/>
    <w:uiPriority w:val="29"/>
    <w:rsid w:val="008324A0"/>
    <w:rPr>
      <w:i/>
      <w:iCs/>
      <w:color w:val="404040" w:themeColor="text1" w:themeTint="BF"/>
    </w:rPr>
  </w:style>
  <w:style w:type="paragraph" w:styleId="Prrafodelista">
    <w:name w:val="List Paragraph"/>
    <w:basedOn w:val="Normal"/>
    <w:uiPriority w:val="34"/>
    <w:qFormat/>
    <w:rsid w:val="008324A0"/>
    <w:pPr>
      <w:ind w:left="720"/>
      <w:contextualSpacing/>
    </w:pPr>
  </w:style>
  <w:style w:type="character" w:styleId="nfasisintenso">
    <w:name w:val="Intense Emphasis"/>
    <w:basedOn w:val="Fuentedeprrafopredeter"/>
    <w:uiPriority w:val="21"/>
    <w:qFormat/>
    <w:rsid w:val="008324A0"/>
    <w:rPr>
      <w:i/>
      <w:iCs/>
      <w:color w:val="0F4761" w:themeColor="accent1" w:themeShade="BF"/>
    </w:rPr>
  </w:style>
  <w:style w:type="paragraph" w:styleId="Citadestacada">
    <w:name w:val="Intense Quote"/>
    <w:basedOn w:val="Normal"/>
    <w:next w:val="Normal"/>
    <w:link w:val="CitadestacadaCar"/>
    <w:uiPriority w:val="30"/>
    <w:qFormat/>
    <w:rsid w:val="00832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24A0"/>
    <w:rPr>
      <w:i/>
      <w:iCs/>
      <w:color w:val="0F4761" w:themeColor="accent1" w:themeShade="BF"/>
    </w:rPr>
  </w:style>
  <w:style w:type="character" w:styleId="Referenciaintensa">
    <w:name w:val="Intense Reference"/>
    <w:basedOn w:val="Fuentedeprrafopredeter"/>
    <w:uiPriority w:val="32"/>
    <w:qFormat/>
    <w:rsid w:val="008324A0"/>
    <w:rPr>
      <w:b/>
      <w:bCs/>
      <w:smallCaps/>
      <w:color w:val="0F4761" w:themeColor="accent1" w:themeShade="BF"/>
      <w:spacing w:val="5"/>
    </w:rPr>
  </w:style>
  <w:style w:type="paragraph" w:styleId="TtuloTDC">
    <w:name w:val="TOC Heading"/>
    <w:basedOn w:val="Ttulo1"/>
    <w:next w:val="Normal"/>
    <w:uiPriority w:val="39"/>
    <w:unhideWhenUsed/>
    <w:qFormat/>
    <w:rsid w:val="00336871"/>
    <w:pPr>
      <w:spacing w:before="240" w:after="0" w:line="259" w:lineRule="auto"/>
      <w:outlineLvl w:val="9"/>
    </w:pPr>
    <w:rPr>
      <w:kern w:val="0"/>
      <w:sz w:val="32"/>
      <w:szCs w:val="32"/>
      <w:lang w:eastAsia="es-MX"/>
      <w14:ligatures w14:val="none"/>
    </w:rPr>
  </w:style>
  <w:style w:type="paragraph" w:styleId="TDC1">
    <w:name w:val="toc 1"/>
    <w:basedOn w:val="Normal"/>
    <w:next w:val="Normal"/>
    <w:autoRedefine/>
    <w:uiPriority w:val="39"/>
    <w:unhideWhenUsed/>
    <w:rsid w:val="00336871"/>
    <w:pPr>
      <w:spacing w:after="100"/>
    </w:pPr>
  </w:style>
  <w:style w:type="paragraph" w:styleId="TDC2">
    <w:name w:val="toc 2"/>
    <w:basedOn w:val="Normal"/>
    <w:next w:val="Normal"/>
    <w:autoRedefine/>
    <w:uiPriority w:val="39"/>
    <w:unhideWhenUsed/>
    <w:rsid w:val="00336871"/>
    <w:pPr>
      <w:spacing w:after="100"/>
      <w:ind w:left="240"/>
    </w:pPr>
  </w:style>
  <w:style w:type="character" w:styleId="Hipervnculo">
    <w:name w:val="Hyperlink"/>
    <w:basedOn w:val="Fuentedeprrafopredeter"/>
    <w:uiPriority w:val="99"/>
    <w:unhideWhenUsed/>
    <w:rsid w:val="003368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198B-6D6A-4E33-AEF6-B0C73885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1586</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Javier</dc:creator>
  <cp:keywords/>
  <dc:description/>
  <cp:lastModifiedBy>Mary Javier</cp:lastModifiedBy>
  <cp:revision>8</cp:revision>
  <cp:lastPrinted>2025-11-23T01:20:00Z</cp:lastPrinted>
  <dcterms:created xsi:type="dcterms:W3CDTF">2025-11-22T21:58:00Z</dcterms:created>
  <dcterms:modified xsi:type="dcterms:W3CDTF">2025-11-23T01:20:00Z</dcterms:modified>
</cp:coreProperties>
</file>